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pPr>
        <w:spacing w:after="20" w:before="120" w:lineRule="auto"/>
      </w:pPr>
      <w:r>
        <w:rPr>
          <w:rFonts w:ascii="Lora" w:cs="Lora" w:eastAsia="Lora" w:hAnsi="Lora"/>
          <w:b w:val="1"/>
          <w:bCs w:val="1"/>
          <w:color w:val="001358"/>
          <w:sz w:val="36"/>
          <w:szCs w:val="36"/>
        </w:rPr>
        <w:t xml:space="preserve">Financial Planning Intern</w:t>
      </w:r>
    </w:p>
    <w:p>
      <w:pPr>
        <w:spacing w:after="20" w:before="120" w:lineRule="auto"/>
      </w:pPr>
      <w:r>
        <w:rPr>
          <w:rFonts w:ascii="Calibri" w:cs="Calibri" w:eastAsia="Calibri" w:hAnsi="Calibri"/>
          <w:color w:val="3a3a38"/>
          <w:sz w:val="22"/>
          <w:szCs w:val="22"/>
        </w:rPr>
        <w:t xml:space="preserve">Geographic Focus: Philadelphia or New York-Based with Remote Option</w:t>
      </w:r>
    </w:p>
    <w:p>
      <w:pPr>
        <w:keepNext w:val="1"/>
        <w:pBdr>
          <w:left w:color="5ea051" w:space="8" w:sz="24" w:val="single"/>
        </w:pBdr>
        <w:spacing w:after="160" w:before="340" w:lineRule="auto"/>
        <w:ind w:left="160" w:firstLine="0"/>
      </w:pPr>
      <w:r>
        <w:rPr>
          <w:rFonts w:ascii="Lora" w:cs="Lora" w:eastAsia="Lora" w:hAnsi="Lora"/>
          <w:b w:val="1"/>
          <w:bCs w:val="1"/>
          <w:color w:val="001358"/>
          <w:sz w:val="26"/>
          <w:szCs w:val="26"/>
        </w:rPr>
        <w:t xml:space="preserve">Introduction to Zenith</w:t>
      </w:r>
    </w:p>
    <w:p>
      <w:pPr>
        <w:spacing w:after="180" w:line="288" w:lineRule="auto"/>
      </w:pPr>
      <w:r>
        <w:rPr>
          <w:rFonts w:ascii="Calibri" w:cs="Calibri" w:eastAsia="Calibri" w:hAnsi="Calibri"/>
          <w:color w:val="3a3a38"/>
          <w:sz w:val="22"/>
          <w:szCs w:val="22"/>
        </w:rPr>
        <w:t xml:space="preserve">Wealth management has long worked best for people who already have wealth. Zenith Wealth Partners exists to change that: building comprehensive, accessible financial advice for clients at every stage, led by a minority-owned team that reflects the communities it serves. Managing wealth is an infinite journey, not a one-time event, and Zenith helps clients feel confident and intentional about their financial decisions, giving them back time and peace of mind.</w:t>
      </w:r>
    </w:p>
    <w:p>
      <w:pPr>
        <w:keepNext w:val="1"/>
        <w:pBdr>
          <w:left w:color="5ea051" w:space="8" w:sz="24" w:val="single"/>
        </w:pBdr>
        <w:spacing w:after="160" w:before="340" w:lineRule="auto"/>
        <w:ind w:left="160" w:firstLine="0"/>
      </w:pPr>
      <w:r>
        <w:rPr>
          <w:rFonts w:ascii="Lora" w:cs="Lora" w:eastAsia="Lora" w:hAnsi="Lora"/>
          <w:b w:val="1"/>
          <w:bCs w:val="1"/>
          <w:color w:val="001358"/>
          <w:sz w:val="26"/>
          <w:szCs w:val="26"/>
        </w:rPr>
        <w:t xml:space="preserve">The Zenith Internship</w:t>
      </w:r>
    </w:p>
    <w:p>
      <w:pPr>
        <w:spacing w:after="180" w:line="288" w:lineRule="auto"/>
      </w:pPr>
      <w:r>
        <w:rPr>
          <w:rFonts w:ascii="Calibri" w:cs="Calibri" w:eastAsia="Calibri" w:hAnsi="Calibri"/>
          <w:color w:val="3a3a38"/>
          <w:sz w:val="22"/>
          <w:szCs w:val="22"/>
        </w:rPr>
        <w:t xml:space="preserve">Our internship is one of the most meaningful ways we live our core values - to collaborate, include, and redefine. It is designed for curious rising sophomores and juniors, whether or not anyone in your life works in finance. You do not need prior industry experience to thrive here; we will teach you the work, and on a team our size, your contributions will be seen and will matter.</w:t>
      </w:r>
    </w:p>
    <w:p>
      <w:pPr>
        <w:keepNext w:val="1"/>
        <w:spacing w:after="180" w:line="288" w:lineRule="auto"/>
      </w:pPr>
      <w:r>
        <w:rPr>
          <w:rFonts w:ascii="Calibri" w:cs="Calibri" w:eastAsia="Calibri" w:hAnsi="Calibri"/>
          <w:color w:val="3a3a38"/>
          <w:sz w:val="22"/>
          <w:szCs w:val="22"/>
        </w:rPr>
        <w:t xml:space="preserve">Every intern can count on:</w:t>
      </w:r>
    </w:p>
    <w:p>
      <w:pPr>
        <w:numPr>
          <w:ilvl w:val="0"/>
          <w:numId w:val="1"/>
        </w:numPr>
        <w:spacing w:after="100" w:before="0" w:line="276" w:lineRule="auto"/>
        <w:ind w:left="360" w:right="0" w:hanging="260"/>
        <w:jc w:val="left"/>
      </w:pPr>
      <w:r>
        <w:rPr>
          <w:rFonts w:ascii="Calibri" w:cs="Calibri" w:eastAsia="Calibri" w:hAnsi="Calibri"/>
          <w:b w:val="1"/>
          <w:bCs w:val="1"/>
          <w:color w:val="001358"/>
          <w:sz w:val="22"/>
          <w:szCs w:val="22"/>
        </w:rPr>
        <w:t xml:space="preserve">An onboarding week</w:t>
      </w:r>
      <w:r>
        <w:rPr>
          <w:rFonts w:ascii="Calibri" w:cs="Calibri" w:eastAsia="Calibri" w:hAnsi="Calibri"/>
          <w:color w:val="3a3a38"/>
          <w:sz w:val="22"/>
          <w:szCs w:val="22"/>
        </w:rPr>
        <w:t xml:space="preserve"> to get comfortable with our mission, clients, systems, and how we work together</w:t>
      </w:r>
    </w:p>
    <w:p>
      <w:pPr>
        <w:numPr>
          <w:ilvl w:val="0"/>
          <w:numId w:val="1"/>
        </w:numPr>
        <w:spacing w:after="100" w:before="0" w:line="276" w:lineRule="auto"/>
        <w:ind w:left="360" w:right="0" w:hanging="260"/>
        <w:jc w:val="left"/>
      </w:pPr>
      <w:r>
        <w:rPr>
          <w:rFonts w:ascii="Calibri" w:cs="Calibri" w:eastAsia="Calibri" w:hAnsi="Calibri"/>
          <w:b w:val="1"/>
          <w:bCs w:val="1"/>
          <w:color w:val="001358"/>
          <w:sz w:val="22"/>
          <w:szCs w:val="22"/>
        </w:rPr>
        <w:t xml:space="preserve">Weekly check-ins</w:t>
      </w:r>
      <w:r>
        <w:rPr>
          <w:rFonts w:ascii="Calibri" w:cs="Calibri" w:eastAsia="Calibri" w:hAnsi="Calibri"/>
          <w:color w:val="3a3a38"/>
          <w:sz w:val="22"/>
          <w:szCs w:val="22"/>
        </w:rPr>
        <w:t xml:space="preserve"> with a Coach/Manager to talk through your work, share feedback, and ask anything on your mind</w:t>
      </w:r>
    </w:p>
    <w:p>
      <w:pPr>
        <w:numPr>
          <w:ilvl w:val="0"/>
          <w:numId w:val="1"/>
        </w:numPr>
        <w:spacing w:after="100" w:before="0" w:line="276" w:lineRule="auto"/>
        <w:ind w:left="360" w:right="0" w:hanging="260"/>
        <w:jc w:val="left"/>
      </w:pPr>
      <w:r>
        <w:rPr>
          <w:rFonts w:ascii="Calibri" w:cs="Calibri" w:eastAsia="Calibri" w:hAnsi="Calibri"/>
          <w:b w:val="1"/>
          <w:bCs w:val="1"/>
          <w:color w:val="001358"/>
          <w:sz w:val="22"/>
          <w:szCs w:val="22"/>
        </w:rPr>
        <w:t xml:space="preserve">A midpoint review</w:t>
      </w:r>
      <w:r>
        <w:rPr>
          <w:rFonts w:ascii="Calibri" w:cs="Calibri" w:eastAsia="Calibri" w:hAnsi="Calibri"/>
          <w:color w:val="3a3a38"/>
          <w:sz w:val="22"/>
          <w:szCs w:val="22"/>
        </w:rPr>
        <w:t xml:space="preserve"> to celebrate what is going well and shape what you want to get out of the rest of the summer</w:t>
      </w:r>
    </w:p>
    <w:p>
      <w:pPr>
        <w:keepNext w:val="1"/>
        <w:pBdr>
          <w:left w:color="5ea051" w:space="8" w:sz="24" w:val="single"/>
        </w:pBdr>
        <w:spacing w:after="160" w:before="340" w:lineRule="auto"/>
        <w:ind w:left="160" w:firstLine="0"/>
      </w:pPr>
      <w:r>
        <w:rPr>
          <w:rFonts w:ascii="Lora" w:cs="Lora" w:eastAsia="Lora" w:hAnsi="Lora"/>
          <w:b w:val="1"/>
          <w:bCs w:val="1"/>
          <w:color w:val="001358"/>
          <w:sz w:val="26"/>
          <w:szCs w:val="26"/>
        </w:rPr>
        <w:t xml:space="preserve">Position Summary</w:t>
      </w:r>
    </w:p>
    <w:p>
      <w:pPr>
        <w:spacing w:after="180" w:line="288" w:lineRule="auto"/>
      </w:pPr>
      <w:r>
        <w:rPr>
          <w:rFonts w:ascii="Calibri" w:cs="Calibri" w:eastAsia="Calibri" w:hAnsi="Calibri"/>
          <w:color w:val="3a3a38"/>
          <w:sz w:val="22"/>
          <w:szCs w:val="22"/>
        </w:rPr>
        <w:t xml:space="preserve">If you have ever wondered what it looks like to help a family feel more confident about their money, this internship is a great place to find out. As a member of Zenith's Individuals and Families team, you will work side by side with a Financial Planner on real client work, from the first onboarding conversation to the plan that comes out of it, with plenty of support along the way.</w:t>
      </w:r>
    </w:p>
    <w:p>
      <w:pPr>
        <w:keepNext w:val="1"/>
        <w:spacing w:after="180" w:line="288" w:lineRule="auto"/>
      </w:pPr>
      <w:r>
        <w:rPr>
          <w:rFonts w:ascii="Calibri" w:cs="Calibri" w:eastAsia="Calibri" w:hAnsi="Calibri"/>
          <w:color w:val="3a3a38"/>
          <w:sz w:val="22"/>
          <w:szCs w:val="22"/>
        </w:rPr>
        <w:t xml:space="preserve">The day-to-day includes:</w:t>
      </w:r>
    </w:p>
    <w:p>
      <w:pPr>
        <w:numPr>
          <w:ilvl w:val="0"/>
          <w:numId w:val="1"/>
        </w:numPr>
        <w:spacing w:after="100" w:before="0" w:line="276" w:lineRule="auto"/>
        <w:ind w:left="360" w:right="0" w:hanging="260"/>
        <w:jc w:val="left"/>
      </w:pPr>
      <w:r>
        <w:rPr>
          <w:rFonts w:ascii="Calibri" w:cs="Calibri" w:eastAsia="Calibri" w:hAnsi="Calibri"/>
          <w:color w:val="3a3a38"/>
          <w:sz w:val="22"/>
          <w:szCs w:val="22"/>
        </w:rPr>
        <w:t xml:space="preserve">Entering client data, building cash flow plans and net worth statements, and modeling goals such as retirement, education, and buying a home</w:t>
      </w:r>
    </w:p>
    <w:p>
      <w:pPr>
        <w:numPr>
          <w:ilvl w:val="0"/>
          <w:numId w:val="1"/>
        </w:numPr>
        <w:spacing w:after="100" w:before="0" w:line="276" w:lineRule="auto"/>
        <w:ind w:left="360" w:right="0" w:hanging="260"/>
        <w:jc w:val="left"/>
      </w:pPr>
      <w:r>
        <w:rPr>
          <w:rFonts w:ascii="Calibri" w:cs="Calibri" w:eastAsia="Calibri" w:hAnsi="Calibri"/>
          <w:color w:val="3a3a38"/>
          <w:sz w:val="22"/>
          <w:szCs w:val="22"/>
        </w:rPr>
        <w:t xml:space="preserve">Uploading tax returns to Hazel and summarizing planning opportunities for a planner to review</w:t>
      </w:r>
    </w:p>
    <w:p>
      <w:pPr>
        <w:numPr>
          <w:ilvl w:val="0"/>
          <w:numId w:val="1"/>
        </w:numPr>
        <w:spacing w:after="100" w:before="0" w:line="276" w:lineRule="auto"/>
        <w:ind w:left="360" w:right="0" w:hanging="260"/>
        <w:jc w:val="left"/>
      </w:pPr>
      <w:r>
        <w:rPr>
          <w:rFonts w:ascii="Calibri" w:cs="Calibri" w:eastAsia="Calibri" w:hAnsi="Calibri"/>
          <w:color w:val="3a3a38"/>
          <w:sz w:val="22"/>
          <w:szCs w:val="22"/>
        </w:rPr>
        <w:t xml:space="preserve">Supporting new clients as they get started with Zenith by gathering documents, preparing account paperwork, and scheduling meetings</w:t>
      </w:r>
    </w:p>
    <w:p>
      <w:pPr>
        <w:numPr>
          <w:ilvl w:val="0"/>
          <w:numId w:val="1"/>
        </w:numPr>
        <w:spacing w:after="100" w:before="0" w:line="276" w:lineRule="auto"/>
        <w:ind w:left="360" w:right="0" w:hanging="260"/>
        <w:jc w:val="left"/>
      </w:pPr>
      <w:r>
        <w:rPr>
          <w:rFonts w:ascii="Calibri" w:cs="Calibri" w:eastAsia="Calibri" w:hAnsi="Calibri"/>
          <w:color w:val="3a3a38"/>
          <w:sz w:val="22"/>
          <w:szCs w:val="22"/>
        </w:rPr>
        <w:t xml:space="preserve">Keeping client tasks, follow-ups, and deliverable timelines on track in Wealthbox</w:t>
      </w:r>
    </w:p>
    <w:p>
      <w:pPr>
        <w:numPr>
          <w:ilvl w:val="0"/>
          <w:numId w:val="1"/>
        </w:numPr>
        <w:spacing w:after="100" w:before="0" w:line="276" w:lineRule="auto"/>
        <w:ind w:left="360" w:right="0" w:hanging="260"/>
        <w:jc w:val="left"/>
      </w:pPr>
      <w:r>
        <w:rPr>
          <w:rFonts w:ascii="Calibri" w:cs="Calibri" w:eastAsia="Calibri" w:hAnsi="Calibri"/>
          <w:color w:val="3a3a38"/>
          <w:sz w:val="22"/>
          <w:szCs w:val="22"/>
        </w:rPr>
        <w:t xml:space="preserve">Joining select client meetings, taking notes, and drafting follow-up summaries</w:t>
      </w:r>
    </w:p>
    <w:p>
      <w:pPr>
        <w:numPr>
          <w:ilvl w:val="0"/>
          <w:numId w:val="1"/>
        </w:numPr>
        <w:spacing w:after="100" w:before="0" w:line="276" w:lineRule="auto"/>
        <w:ind w:left="360" w:right="0" w:hanging="260"/>
        <w:jc w:val="left"/>
      </w:pPr>
      <w:r>
        <w:rPr>
          <w:rFonts w:ascii="Calibri" w:cs="Calibri" w:eastAsia="Calibri" w:hAnsi="Calibri"/>
          <w:color w:val="3a3a38"/>
          <w:sz w:val="22"/>
          <w:szCs w:val="22"/>
        </w:rPr>
        <w:t xml:space="preserve">Exploring planning topics as they come up in client work (for example, tax law changes, student loans, equity compensation, or college savings) and writing short, plain-language summaries the team can use</w:t>
      </w:r>
    </w:p>
    <w:p>
      <w:pPr>
        <w:numPr>
          <w:ilvl w:val="0"/>
          <w:numId w:val="1"/>
        </w:numPr>
        <w:spacing w:after="100" w:before="0" w:line="276" w:lineRule="auto"/>
        <w:ind w:left="360" w:right="0" w:hanging="260"/>
        <w:jc w:val="left"/>
      </w:pPr>
      <w:r>
        <w:rPr>
          <w:rFonts w:ascii="Calibri" w:cs="Calibri" w:eastAsia="Calibri" w:hAnsi="Calibri"/>
          <w:color w:val="3a3a38"/>
          <w:sz w:val="22"/>
          <w:szCs w:val="22"/>
        </w:rPr>
        <w:t xml:space="preserve">Contributing to a practice management or operations project that improves the planning experience for future clients</w:t>
      </w:r>
    </w:p>
    <w:p>
      <w:pPr>
        <w:keepNext w:val="1"/>
        <w:pBdr>
          <w:left w:color="5ea051" w:space="8" w:sz="24" w:val="single"/>
        </w:pBdr>
        <w:spacing w:after="160" w:before="340" w:lineRule="auto"/>
        <w:ind w:left="160" w:firstLine="0"/>
      </w:pPr>
      <w:r>
        <w:rPr>
          <w:rFonts w:ascii="Lora" w:cs="Lora" w:eastAsia="Lora" w:hAnsi="Lora"/>
          <w:b w:val="1"/>
          <w:bCs w:val="1"/>
          <w:color w:val="001358"/>
          <w:sz w:val="26"/>
          <w:szCs w:val="26"/>
        </w:rPr>
        <w:t xml:space="preserve">Qualifications and Culture Fit</w:t>
      </w:r>
    </w:p>
    <w:p>
      <w:pPr>
        <w:keepNext w:val="1"/>
        <w:spacing w:after="110" w:before="200" w:lineRule="auto"/>
      </w:pPr>
      <w:r>
        <w:rPr>
          <w:rFonts w:ascii="Calibri" w:cs="Calibri" w:eastAsia="Calibri" w:hAnsi="Calibri"/>
          <w:b w:val="1"/>
          <w:bCs w:val="1"/>
          <w:i w:val="1"/>
          <w:iCs w:val="1"/>
          <w:color w:val="001358"/>
          <w:sz w:val="21"/>
          <w:szCs w:val="21"/>
        </w:rPr>
        <w:t xml:space="preserve">Qualifications</w:t>
      </w:r>
    </w:p>
    <w:p>
      <w:pPr>
        <w:numPr>
          <w:ilvl w:val="0"/>
          <w:numId w:val="1"/>
        </w:numPr>
        <w:spacing w:after="100" w:before="0" w:line="276" w:lineRule="auto"/>
        <w:ind w:left="360" w:right="0" w:hanging="260"/>
        <w:jc w:val="left"/>
      </w:pPr>
      <w:r>
        <w:rPr>
          <w:rFonts w:ascii="Calibri" w:cs="Calibri" w:eastAsia="Calibri" w:hAnsi="Calibri"/>
          <w:color w:val="3a3a38"/>
          <w:sz w:val="22"/>
          <w:szCs w:val="22"/>
        </w:rPr>
        <w:t xml:space="preserve">Rising sophomore or junior in summer 2027, at a two- or four-year college or university</w:t>
      </w:r>
    </w:p>
    <w:p>
      <w:pPr>
        <w:numPr>
          <w:ilvl w:val="0"/>
          <w:numId w:val="1"/>
        </w:numPr>
        <w:spacing w:after="100" w:before="0" w:line="276" w:lineRule="auto"/>
        <w:ind w:left="360" w:right="0" w:hanging="260"/>
        <w:jc w:val="left"/>
      </w:pPr>
      <w:r>
        <w:rPr>
          <w:rFonts w:ascii="Calibri" w:cs="Calibri" w:eastAsia="Calibri" w:hAnsi="Calibri"/>
          <w:color w:val="3a3a38"/>
          <w:sz w:val="22"/>
          <w:szCs w:val="22"/>
        </w:rPr>
        <w:t xml:space="preserve">Interest in personal finance, whether it comes from coursework, a campus organization, a job, your own reading, or managing money for yourself or your family</w:t>
      </w:r>
    </w:p>
    <w:p>
      <w:pPr>
        <w:numPr>
          <w:ilvl w:val="0"/>
          <w:numId w:val="1"/>
        </w:numPr>
        <w:spacing w:after="100" w:before="0" w:line="276" w:lineRule="auto"/>
        <w:ind w:left="360" w:right="0" w:hanging="260"/>
        <w:jc w:val="left"/>
      </w:pPr>
      <w:r>
        <w:rPr>
          <w:rFonts w:ascii="Calibri" w:cs="Calibri" w:eastAsia="Calibri" w:hAnsi="Calibri"/>
          <w:color w:val="3a3a38"/>
          <w:sz w:val="22"/>
          <w:szCs w:val="22"/>
        </w:rPr>
        <w:t xml:space="preserve">Comfort with spreadsheets (Excel or Google Sheets); we will teach you our planning software</w:t>
      </w:r>
    </w:p>
    <w:p>
      <w:pPr>
        <w:numPr>
          <w:ilvl w:val="0"/>
          <w:numId w:val="1"/>
        </w:numPr>
        <w:spacing w:after="100" w:before="0" w:line="276" w:lineRule="auto"/>
        <w:ind w:left="360" w:right="0" w:hanging="260"/>
        <w:jc w:val="left"/>
      </w:pPr>
      <w:r>
        <w:rPr>
          <w:rFonts w:ascii="Calibri" w:cs="Calibri" w:eastAsia="Calibri" w:hAnsi="Calibri"/>
          <w:color w:val="3a3a38"/>
          <w:sz w:val="22"/>
          <w:szCs w:val="22"/>
        </w:rPr>
        <w:t xml:space="preserve">Warm, clear communication, especially when talking about money</w:t>
      </w:r>
    </w:p>
    <w:p>
      <w:pPr>
        <w:numPr>
          <w:ilvl w:val="0"/>
          <w:numId w:val="1"/>
        </w:numPr>
        <w:spacing w:after="100" w:before="0" w:line="276" w:lineRule="auto"/>
        <w:ind w:left="360" w:right="0" w:hanging="260"/>
        <w:jc w:val="left"/>
      </w:pPr>
      <w:r>
        <w:rPr>
          <w:rFonts w:ascii="Calibri" w:cs="Calibri" w:eastAsia="Calibri" w:hAnsi="Calibri"/>
          <w:color w:val="3a3a38"/>
          <w:sz w:val="22"/>
          <w:szCs w:val="22"/>
        </w:rPr>
        <w:t xml:space="preserve">Organized and reliable, with strong follow-through</w:t>
      </w:r>
    </w:p>
    <w:p>
      <w:pPr>
        <w:numPr>
          <w:ilvl w:val="0"/>
          <w:numId w:val="1"/>
        </w:numPr>
        <w:spacing w:after="100" w:before="0" w:line="276" w:lineRule="auto"/>
        <w:ind w:left="360" w:right="0" w:hanging="260"/>
        <w:jc w:val="left"/>
      </w:pPr>
      <w:r>
        <w:rPr>
          <w:rFonts w:ascii="Calibri" w:cs="Calibri" w:eastAsia="Calibri" w:hAnsi="Calibri"/>
          <w:color w:val="3a3a38"/>
          <w:sz w:val="22"/>
          <w:szCs w:val="22"/>
        </w:rPr>
        <w:t xml:space="preserve">Care and discretion with confidential client information</w:t>
      </w:r>
    </w:p>
    <w:p>
      <w:pPr>
        <w:numPr>
          <w:ilvl w:val="0"/>
          <w:numId w:val="1"/>
        </w:numPr>
        <w:spacing w:after="100" w:before="0" w:line="276" w:lineRule="auto"/>
        <w:ind w:left="360" w:right="0" w:hanging="260"/>
        <w:jc w:val="left"/>
      </w:pPr>
      <w:r>
        <w:rPr>
          <w:rFonts w:ascii="Calibri" w:cs="Calibri" w:eastAsia="Calibri" w:hAnsi="Calibri"/>
          <w:color w:val="3a3a38"/>
          <w:sz w:val="22"/>
          <w:szCs w:val="22"/>
        </w:rPr>
        <w:t xml:space="preserve">Interest in the CFP® path is a plus, not a requirement</w:t>
      </w:r>
    </w:p>
    <w:p>
      <w:pPr>
        <w:keepNext w:val="1"/>
        <w:pBdr>
          <w:left w:color="5ea051" w:space="8" w:sz="24" w:val="single"/>
        </w:pBdr>
        <w:spacing w:after="160" w:before="340" w:lineRule="auto"/>
        <w:ind w:left="160" w:firstLine="0"/>
      </w:pPr>
      <w:r>
        <w:rPr>
          <w:rFonts w:ascii="Lora" w:cs="Lora" w:eastAsia="Lora" w:hAnsi="Lora"/>
          <w:b w:val="1"/>
          <w:bCs w:val="1"/>
          <w:color w:val="001358"/>
          <w:sz w:val="26"/>
          <w:szCs w:val="26"/>
        </w:rPr>
        <w:t xml:space="preserve">Compensation &amp; Perks</w:t>
      </w:r>
    </w:p>
    <w:p>
      <w:pPr>
        <w:spacing w:after="180" w:line="288" w:lineRule="auto"/>
      </w:pPr>
      <w:r>
        <w:rPr>
          <w:rFonts w:ascii="Calibri" w:cs="Calibri" w:eastAsia="Calibri" w:hAnsi="Calibri"/>
          <w:color w:val="3a3a38"/>
          <w:sz w:val="22"/>
          <w:szCs w:val="22"/>
        </w:rPr>
        <w:t xml:space="preserve">This is a paid, full-time internship at </w:t>
      </w:r>
      <w:r>
        <w:rPr>
          <w:rFonts w:ascii="Calibri" w:cs="Calibri" w:eastAsia="Calibri" w:hAnsi="Calibri"/>
          <w:b w:val="1"/>
          <w:bCs w:val="1"/>
          <w:color w:val="001358"/>
          <w:sz w:val="22"/>
          <w:szCs w:val="22"/>
        </w:rPr>
        <w:t xml:space="preserve">$3,250 per month</w:t>
      </w:r>
      <w:r>
        <w:rPr>
          <w:rFonts w:ascii="Calibri" w:cs="Calibri" w:eastAsia="Calibri" w:hAnsi="Calibri"/>
          <w:color w:val="3a3a38"/>
          <w:sz w:val="22"/>
          <w:szCs w:val="22"/>
        </w:rPr>
        <w:t xml:space="preserve">, prorated for partial months, running June 7 to August 13, 2027. Interns do not accrue paid time off, but enjoy all NYSE holidays and a day off for their birthday.</w:t>
      </w:r>
    </w:p>
    <w:p>
      <w:pPr>
        <w:keepNext w:val="1"/>
        <w:pBdr>
          <w:left w:color="5ea051" w:space="8" w:sz="24" w:val="single"/>
        </w:pBdr>
        <w:spacing w:after="160" w:before="340" w:lineRule="auto"/>
        <w:ind w:left="160" w:firstLine="0"/>
      </w:pPr>
      <w:r>
        <w:rPr>
          <w:rFonts w:ascii="Lora" w:cs="Lora" w:eastAsia="Lora" w:hAnsi="Lora"/>
          <w:b w:val="1"/>
          <w:bCs w:val="1"/>
          <w:color w:val="001358"/>
          <w:sz w:val="26"/>
          <w:szCs w:val="26"/>
        </w:rPr>
        <w:t xml:space="preserve">Next Steps</w:t>
      </w:r>
    </w:p>
    <w:p>
      <w:pPr>
        <w:spacing w:after="180" w:line="288" w:lineRule="auto"/>
      </w:pPr>
      <w:r>
        <w:rPr>
          <w:rFonts w:ascii="Calibri" w:cs="Calibri" w:eastAsia="Calibri" w:hAnsi="Calibri"/>
          <w:color w:val="3a3a38"/>
          <w:sz w:val="22"/>
          <w:szCs w:val="22"/>
        </w:rPr>
        <w:t xml:space="preserve">Apply through Zenith's internship application at https://form.jotform.com/262994335141157 with your resume. In place of a traditional cover letter, you'll answer three short questions of 250 words or less. They are our chance to get to know the person behind the resume: who you are and why Zenith's work speaks to you.</w:t>
      </w:r>
    </w:p>
    <w:p>
      <w:pPr>
        <w:spacing w:after="180" w:line="288" w:lineRule="auto"/>
      </w:pPr>
      <w:r>
        <w:rPr>
          <w:rFonts w:ascii="Calibri" w:cs="Calibri" w:eastAsia="Calibri" w:hAnsi="Calibri"/>
          <w:color w:val="3a3a38"/>
          <w:sz w:val="22"/>
          <w:szCs w:val="22"/>
        </w:rPr>
        <w:t xml:space="preserve">Applications are reviewed on a rolling basis, and every applicant will hear back from us.</w:t>
      </w:r>
    </w:p>
    <w:p>
      <w:pPr>
        <w:spacing w:after="180" w:line="288" w:lineRule="auto"/>
      </w:pPr>
      <w:r>
        <w:rPr>
          <w:rFonts w:ascii="Calibri" w:cs="Calibri" w:eastAsia="Calibri" w:hAnsi="Calibri"/>
          <w:color w:val="3a3a38"/>
          <w:sz w:val="22"/>
          <w:szCs w:val="22"/>
        </w:rPr>
        <w:t xml:space="preserve">Zenith provides equal employment opportunities (EEO) to all employees and applicants for employment without regard to race, color, religion, sex, national origin, age, disability or genetics. In addition to federal law requirements, Zenith complies with applicable state and local laws governing nondiscrimination in employment in every location in which the company has facilities. This policy applies to all terms and conditions of employment, including recruiting, hiring, placement, promotion, termination, layoff, recall, transfer, leaves of absence, compensation and training.</w:t>
      </w:r>
    </w:p>
    <w:sectPr>
      <w:headerReference r:id="rId7" w:type="default"/>
      <w:pgSz w:h="15840" w:w="12240" w:orient="portrait"/>
      <w:pgMar w:bottom="792" w:top="863" w:left="1224" w:right="122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Calibri"/>
  <w:font w:name="Lor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pBdr>
        <w:bottom w:color="5ea051" w:space="6" w:sz="12" w:val="single"/>
      </w:pBdr>
      <w:spacing w:after="0" w:lineRule="auto"/>
      <w:rPr/>
    </w:pPr>
    <w:r w:rsidDel="00000000" w:rsidR="00000000" w:rsidRPr="00000000">
      <w:rPr>
        <w:rFonts w:ascii="Lora" w:cs="Lora" w:eastAsia="Lora" w:hAnsi="Lora"/>
        <w:b w:val="1"/>
        <w:bCs w:val="1"/>
        <w:color w:val="001358"/>
        <w:sz w:val="20"/>
        <w:szCs w:val="20"/>
        <w:rtl w:val="0"/>
      </w:rPr>
      <w:t xml:space="preserve">ZENITH </w:t>
    </w:r>
    <w:r w:rsidDel="00000000" w:rsidR="00000000" w:rsidRPr="00000000">
      <w:rPr>
        <w:rFonts w:ascii="Lora" w:cs="Lora" w:eastAsia="Lora" w:hAnsi="Lora"/>
        <w:color w:val="5ea051"/>
        <w:sz w:val="20"/>
        <w:szCs w:val="20"/>
        <w:rtl w:val="0"/>
      </w:rPr>
      <w:t xml:space="preserve">WEALTH PARTNERS</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260"/>
      </w:pPr>
      <w:rPr>
        <w:color w:val="5ea051"/>
      </w:rPr>
    </w:lvl>
    <w:lvl w:ilvl="1">
      <w:start w:val="1"/>
      <w:numFmt w:val="bullet"/>
      <w:lvlText w:val="–"/>
      <w:lvlJc w:val="left"/>
      <w:pPr>
        <w:ind w:left="720" w:hanging="260"/>
      </w:pPr>
      <w:rPr>
        <w:color w:val="055650"/>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character" w:styleId="EndnoteReference">
    <w:name w:val="endnote reference"/>
    <w:basedOn w:val="DefaultParagraphFont"/>
    <w:uiPriority w:val="99"/>
    <w:semiHidden w:val="1"/>
    <w:unhideWhenUsed w:val="1"/>
    <w:rPr>
      <w:vertAlign w:val="superscript"/>
    </w:rPr>
  </w:style>
  <w:style w:type="paragraph" w:styleId="EndnoteText">
    <w:name w:val="endnote text"/>
    <w:basedOn w:val="Normal"/>
    <w:link w:val="EndnoteTextChar"/>
    <w:uiPriority w:val="99"/>
    <w:semiHidden w:val="1"/>
    <w:unhideWhenUsed w:val="1"/>
    <w:pPr>
      <w:spacing w:after="0" w:line="240" w:lineRule="auto"/>
    </w:pPr>
    <w:rPr>
      <w:sz w:val="20"/>
      <w:szCs w:val="20"/>
    </w:rPr>
  </w:style>
  <w:style w:type="character" w:styleId="EndnoteTextChar">
    <w:name w:val="Endnote Text Char"/>
    <w:basedOn w:val="DefaultParagraphFont"/>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Lora-regular.ttf"/><Relationship Id="rId2" Type="http://schemas.openxmlformats.org/officeDocument/2006/relationships/font" Target="fonts/Lora-bold.ttf"/><Relationship Id="rId3" Type="http://schemas.openxmlformats.org/officeDocument/2006/relationships/font" Target="fonts/Lora-italic.ttf"/><Relationship Id="rId4" Type="http://schemas.openxmlformats.org/officeDocument/2006/relationships/font" Target="fonts/Lor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zhi9b8rJXOHMuc063R0FF1Z1og==">CgMxLjA4AHIhMVJmeWhIVVVKRmdKc3JLNFFhc1Ryb25CV2xFdWFraXd0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2026-08-13T19:41:51.081Z</dcterms:created>
  <dc:creator>Un-named</dc:creator>
</cp:coreProperties>
</file>

<file path=docProps/custom.xml><?xml version="1.0" encoding="utf-8"?>
<Properties xmlns="http://schemas.openxmlformats.org/officeDocument/2006/custom-properties" xmlns:vt="http://schemas.openxmlformats.org/officeDocument/2006/docPropsVTypes"/>
</file>